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3A6B9F91" w:rsidR="004B17E3" w:rsidRPr="00805526" w:rsidRDefault="004B17E3" w:rsidP="005E56C2">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w:t>
      </w:r>
      <w:r w:rsidR="00451B62" w:rsidRPr="00805526">
        <w:rPr>
          <w:rFonts w:ascii="Arial" w:hAnsi="Arial" w:cs="Arial"/>
          <w:b/>
          <w:bCs/>
          <w:lang w:val="pt-BR"/>
        </w:rPr>
        <w:t>2</w:t>
      </w:r>
      <w:r w:rsidRPr="00805526">
        <w:rPr>
          <w:rFonts w:ascii="Arial" w:hAnsi="Arial" w:cs="Arial"/>
          <w:b/>
          <w:bCs/>
          <w:lang w:val="pt-BR"/>
        </w:rPr>
        <w:t xml:space="preserve"> #1</w:t>
      </w:r>
      <w:r w:rsidR="00451B62" w:rsidRPr="00805526">
        <w:rPr>
          <w:rFonts w:ascii="Arial" w:hAnsi="Arial" w:cs="Arial"/>
          <w:b/>
          <w:bCs/>
          <w:lang w:val="pt-BR"/>
        </w:rPr>
        <w:t>1</w:t>
      </w:r>
      <w:r w:rsidR="008674CA">
        <w:rPr>
          <w:rFonts w:ascii="Arial" w:hAnsi="Arial" w:cs="Arial"/>
          <w:b/>
          <w:bCs/>
          <w:lang w:val="pt-BR"/>
        </w:rPr>
        <w:t>5</w:t>
      </w:r>
      <w:r w:rsidRPr="00805526">
        <w:rPr>
          <w:rFonts w:ascii="Arial" w:hAnsi="Arial" w:cs="Arial"/>
          <w:b/>
          <w:bCs/>
          <w:lang w:val="pt-BR"/>
        </w:rPr>
        <w:t>-e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w:t>
      </w:r>
      <w:r w:rsidR="00451B62" w:rsidRPr="00805526">
        <w:rPr>
          <w:rFonts w:ascii="Arial" w:hAnsi="Arial" w:cs="Arial"/>
          <w:b/>
          <w:bCs/>
          <w:lang w:val="pt-BR"/>
        </w:rPr>
        <w:t>2</w:t>
      </w:r>
      <w:r w:rsidRPr="00805526">
        <w:rPr>
          <w:rFonts w:ascii="Arial" w:hAnsi="Arial" w:cs="Arial"/>
          <w:b/>
          <w:bCs/>
          <w:lang w:val="pt-BR"/>
        </w:rPr>
        <w:t>-2</w:t>
      </w:r>
      <w:r w:rsidR="00E5241F" w:rsidRPr="00805526">
        <w:rPr>
          <w:rFonts w:ascii="Arial" w:hAnsi="Arial" w:cs="Arial"/>
          <w:b/>
          <w:bCs/>
          <w:lang w:val="pt-BR"/>
        </w:rPr>
        <w:t>10</w:t>
      </w:r>
      <w:r w:rsidR="006F7225">
        <w:rPr>
          <w:rFonts w:ascii="Arial" w:hAnsi="Arial" w:cs="Arial"/>
          <w:b/>
          <w:bCs/>
          <w:lang w:val="pt-BR"/>
        </w:rPr>
        <w:t>7613</w:t>
      </w:r>
    </w:p>
    <w:p w14:paraId="78D1E51D" w14:textId="1EB1C688" w:rsidR="004B17E3" w:rsidRPr="00210D4C" w:rsidRDefault="004B17E3" w:rsidP="005E56C2">
      <w:pPr>
        <w:tabs>
          <w:tab w:val="center" w:pos="4536"/>
          <w:tab w:val="right" w:pos="9072"/>
        </w:tabs>
        <w:jc w:val="both"/>
        <w:rPr>
          <w:rFonts w:ascii="Arial" w:eastAsia="MS Mincho" w:hAnsi="Arial" w:cs="Arial"/>
          <w:b/>
          <w:bCs/>
          <w:lang w:eastAsia="ja-JP"/>
        </w:rPr>
      </w:pPr>
      <w:r>
        <w:rPr>
          <w:rFonts w:ascii="Arial" w:eastAsia="MS Mincho" w:hAnsi="Arial" w:cs="Arial"/>
          <w:b/>
          <w:bCs/>
          <w:lang w:eastAsia="ja-JP"/>
        </w:rPr>
        <w:t xml:space="preserve">e-Meeting, </w:t>
      </w:r>
      <w:r w:rsidR="001C74B3">
        <w:rPr>
          <w:rFonts w:ascii="Arial" w:eastAsia="MS Mincho" w:hAnsi="Arial" w:cs="Arial"/>
          <w:b/>
          <w:bCs/>
          <w:lang w:eastAsia="ja-JP"/>
        </w:rPr>
        <w:t>August</w:t>
      </w:r>
      <w:r w:rsidR="001C74B3" w:rsidRPr="00435F1E">
        <w:rPr>
          <w:rFonts w:ascii="Arial" w:eastAsia="MS Mincho" w:hAnsi="Arial" w:cs="Arial"/>
          <w:b/>
          <w:bCs/>
          <w:lang w:eastAsia="ja-JP"/>
        </w:rPr>
        <w:t xml:space="preserve"> </w:t>
      </w:r>
      <w:r w:rsidR="001C74B3">
        <w:rPr>
          <w:rFonts w:ascii="Arial" w:eastAsia="MS Mincho" w:hAnsi="Arial" w:cs="Arial"/>
          <w:b/>
          <w:bCs/>
          <w:lang w:eastAsia="ja-JP"/>
        </w:rPr>
        <w:t>16</w:t>
      </w:r>
      <w:r w:rsidR="001C74B3">
        <w:rPr>
          <w:rFonts w:ascii="Arial" w:eastAsia="MS Mincho" w:hAnsi="Arial" w:cs="Arial"/>
          <w:b/>
          <w:bCs/>
          <w:vertAlign w:val="superscript"/>
          <w:lang w:eastAsia="ja-JP"/>
        </w:rPr>
        <w:t>th</w:t>
      </w:r>
      <w:r w:rsidR="001C74B3" w:rsidRPr="00435F1E">
        <w:rPr>
          <w:rFonts w:ascii="Arial" w:eastAsia="MS Mincho" w:hAnsi="Arial" w:cs="Arial"/>
          <w:b/>
          <w:bCs/>
          <w:lang w:eastAsia="ja-JP"/>
        </w:rPr>
        <w:t xml:space="preserve"> –</w:t>
      </w:r>
      <w:r w:rsidR="001C74B3">
        <w:rPr>
          <w:rFonts w:ascii="Arial" w:eastAsia="MS Mincho" w:hAnsi="Arial" w:cs="Arial"/>
          <w:b/>
          <w:bCs/>
          <w:lang w:eastAsia="ja-JP"/>
        </w:rPr>
        <w:t xml:space="preserve"> August 27</w:t>
      </w:r>
      <w:r w:rsidR="001C74B3" w:rsidRPr="00435F1E">
        <w:rPr>
          <w:rFonts w:ascii="Arial" w:eastAsia="MS Mincho" w:hAnsi="Arial" w:cs="Arial"/>
          <w:b/>
          <w:bCs/>
          <w:vertAlign w:val="superscript"/>
          <w:lang w:eastAsia="ja-JP"/>
        </w:rPr>
        <w:t>th</w:t>
      </w:r>
      <w:r w:rsidR="0052364D" w:rsidRPr="00435F1E">
        <w:rPr>
          <w:rFonts w:ascii="Arial" w:eastAsia="MS Mincho" w:hAnsi="Arial" w:cs="Arial"/>
          <w:b/>
          <w:bCs/>
          <w:lang w:eastAsia="ja-JP"/>
        </w:rPr>
        <w:t>, 20</w:t>
      </w:r>
      <w:r w:rsidR="0052364D">
        <w:rPr>
          <w:rFonts w:ascii="Arial" w:eastAsia="MS Mincho" w:hAnsi="Arial" w:cs="Arial"/>
          <w:b/>
          <w:bCs/>
          <w:lang w:eastAsia="ja-JP"/>
        </w:rPr>
        <w:t>21</w:t>
      </w:r>
    </w:p>
    <w:p w14:paraId="49C683B7" w14:textId="77777777" w:rsidR="00136C56" w:rsidRPr="00A6576F" w:rsidRDefault="00136C56" w:rsidP="005E56C2">
      <w:pPr>
        <w:pStyle w:val="CRCoverPage"/>
        <w:jc w:val="both"/>
        <w:outlineLvl w:val="0"/>
        <w:rPr>
          <w:rFonts w:ascii="Times New Roman" w:hAnsi="Times New Roman"/>
          <w:b/>
          <w:sz w:val="24"/>
          <w:lang w:val="en-US"/>
        </w:rPr>
      </w:pPr>
    </w:p>
    <w:p w14:paraId="5FB7E722" w14:textId="29F128D1" w:rsidR="00E90E49" w:rsidRPr="00764EBC" w:rsidRDefault="00E90E49" w:rsidP="005E56C2">
      <w:pPr>
        <w:pStyle w:val="3GPPHeader"/>
        <w:jc w:val="both"/>
      </w:pPr>
      <w:r w:rsidRPr="00764EBC">
        <w:t>Agenda Item:</w:t>
      </w:r>
      <w:r w:rsidRPr="00764EBC">
        <w:tab/>
      </w:r>
      <w:r w:rsidR="009561C8">
        <w:t>9.2.2</w:t>
      </w:r>
    </w:p>
    <w:p w14:paraId="2D2AF385" w14:textId="5863517E" w:rsidR="00E90E49" w:rsidRPr="00764EBC" w:rsidRDefault="003D3C45" w:rsidP="005E56C2">
      <w:pPr>
        <w:pStyle w:val="3GPPHeader"/>
        <w:jc w:val="both"/>
      </w:pPr>
      <w:r w:rsidRPr="00764EBC">
        <w:t>Source:</w:t>
      </w:r>
      <w:r w:rsidR="00E90E49" w:rsidRPr="00764EBC">
        <w:tab/>
      </w:r>
      <w:r w:rsidR="00F12DE8" w:rsidRPr="00764EBC">
        <w:t>Apple</w:t>
      </w:r>
    </w:p>
    <w:p w14:paraId="64D45340" w14:textId="774E0CA3" w:rsidR="00531215" w:rsidRPr="00764EBC" w:rsidRDefault="003D3C45" w:rsidP="008674CA">
      <w:pPr>
        <w:pStyle w:val="3GPPHeader"/>
        <w:jc w:val="both"/>
      </w:pPr>
      <w:r w:rsidRPr="00764EBC">
        <w:t>Title:</w:t>
      </w:r>
      <w:r w:rsidR="00E90E49" w:rsidRPr="00764EBC">
        <w:tab/>
      </w:r>
      <w:r w:rsidR="00004E8D">
        <w:t>Support</w:t>
      </w:r>
      <w:r w:rsidR="009561C8">
        <w:t xml:space="preserve"> of</w:t>
      </w:r>
      <w:r w:rsidR="00004E8D">
        <w:t xml:space="preserve"> discontinuous coverage </w:t>
      </w:r>
    </w:p>
    <w:p w14:paraId="4C4FA8C4" w14:textId="77777777" w:rsidR="00E90E49" w:rsidRPr="00764EBC" w:rsidRDefault="00D52012" w:rsidP="005E56C2">
      <w:pPr>
        <w:pStyle w:val="3GPPHeader"/>
        <w:jc w:val="both"/>
      </w:pPr>
      <w:r w:rsidRPr="00764EBC">
        <w:t>Document for:</w:t>
      </w:r>
      <w:r w:rsidRPr="00764EBC">
        <w:tab/>
        <w:t>Discussion/</w:t>
      </w:r>
      <w:r w:rsidR="00E90E49" w:rsidRPr="00764EBC">
        <w:t>Decision</w:t>
      </w:r>
    </w:p>
    <w:p w14:paraId="3E96BFCD" w14:textId="1C835B6A" w:rsidR="00342E02" w:rsidRDefault="00E90E49" w:rsidP="005E56C2">
      <w:pPr>
        <w:pStyle w:val="Heading1"/>
        <w:jc w:val="both"/>
      </w:pPr>
      <w:r w:rsidRPr="00A6576F">
        <w:t>Introduction</w:t>
      </w:r>
    </w:p>
    <w:p w14:paraId="1C899A24" w14:textId="644D13E5" w:rsidR="00566A6D" w:rsidRDefault="00566A6D" w:rsidP="008674CA">
      <w:pPr>
        <w:spacing w:after="180"/>
        <w:contextualSpacing/>
        <w:jc w:val="both"/>
      </w:pPr>
      <w:r>
        <w:t>Power saving and discontinuous coverage were discussed in RAN2 during the SI phase, and the following pertinent agreements were taken in RAN2-113e and RAN2-114e.</w:t>
      </w:r>
    </w:p>
    <w:p w14:paraId="1CA640DD" w14:textId="77777777" w:rsidR="00905764" w:rsidRPr="00B67BAD" w:rsidRDefault="00905764" w:rsidP="005E56C2">
      <w:pPr>
        <w:pStyle w:val="Doc-comment"/>
        <w:pBdr>
          <w:top w:val="single" w:sz="4" w:space="1" w:color="auto"/>
          <w:left w:val="single" w:sz="4" w:space="4" w:color="auto"/>
          <w:bottom w:val="single" w:sz="4" w:space="1" w:color="auto"/>
          <w:right w:val="single" w:sz="4" w:space="4" w:color="auto"/>
        </w:pBdr>
        <w:tabs>
          <w:tab w:val="clear" w:pos="1622"/>
        </w:tabs>
        <w:ind w:left="1260" w:hanging="900"/>
        <w:jc w:val="both"/>
        <w:rPr>
          <w:i w:val="0"/>
        </w:rPr>
      </w:pPr>
      <w:r w:rsidRPr="00905764">
        <w:rPr>
          <w:b/>
          <w:bCs/>
          <w:i w:val="0"/>
        </w:rPr>
        <w:t>Agreements</w:t>
      </w:r>
      <w:r w:rsidRPr="00B67BAD">
        <w:rPr>
          <w:i w:val="0"/>
        </w:rPr>
        <w:t>:</w:t>
      </w:r>
    </w:p>
    <w:p w14:paraId="33151ED7" w14:textId="12808247" w:rsidR="00566A6D" w:rsidRPr="00566A6D" w:rsidRDefault="00566A6D" w:rsidP="00566A6D">
      <w:pPr>
        <w:pStyle w:val="Doc-comment"/>
        <w:numPr>
          <w:ilvl w:val="0"/>
          <w:numId w:val="36"/>
        </w:numPr>
        <w:pBdr>
          <w:top w:val="single" w:sz="4" w:space="1" w:color="auto"/>
          <w:left w:val="single" w:sz="4" w:space="4" w:color="auto"/>
          <w:bottom w:val="single" w:sz="4" w:space="1" w:color="auto"/>
          <w:right w:val="single" w:sz="4" w:space="4" w:color="auto"/>
        </w:pBdr>
        <w:jc w:val="both"/>
        <w:rPr>
          <w:i w:val="0"/>
          <w:iCs/>
          <w:lang w:val="en-US"/>
        </w:rPr>
      </w:pPr>
      <w:r w:rsidRPr="00566A6D">
        <w:rPr>
          <w:i w:val="0"/>
          <w:iCs/>
          <w:lang w:val="en-US"/>
        </w:rPr>
        <w:t>There is significant interest for Power saving in idle mode for NTN IOT devices, e.g. there is significant interest for enhancements to eDRX/PSM (discontinuous coverage) and to relaxed monitoring, SI acquisition and WUS.</w:t>
      </w:r>
    </w:p>
    <w:p w14:paraId="4C4CF266" w14:textId="24D9CBCC" w:rsidR="00566A6D" w:rsidRPr="00566A6D" w:rsidRDefault="00566A6D" w:rsidP="00566A6D">
      <w:pPr>
        <w:pStyle w:val="Doc-comment"/>
        <w:numPr>
          <w:ilvl w:val="0"/>
          <w:numId w:val="36"/>
        </w:numPr>
        <w:pBdr>
          <w:top w:val="single" w:sz="4" w:space="1" w:color="auto"/>
          <w:left w:val="single" w:sz="4" w:space="4" w:color="auto"/>
          <w:bottom w:val="single" w:sz="4" w:space="1" w:color="auto"/>
          <w:right w:val="single" w:sz="4" w:space="4" w:color="auto"/>
        </w:pBdr>
        <w:jc w:val="both"/>
        <w:rPr>
          <w:i w:val="0"/>
          <w:iCs/>
          <w:lang w:val="en-US"/>
        </w:rPr>
      </w:pPr>
      <w:r w:rsidRPr="00566A6D">
        <w:rPr>
          <w:i w:val="0"/>
          <w:iCs/>
          <w:lang w:val="en-US"/>
        </w:rPr>
        <w:t xml:space="preserve">From RAN2 point of view, the existing power saving mechanisms e.g. DRX, PSM, eDRX, relaxed monitoring, and WUS can be reused without enhancement. Can consider enhancements if found needed, to support discontinuous coverage. </w:t>
      </w:r>
    </w:p>
    <w:p w14:paraId="3EFC1A28" w14:textId="202851F1" w:rsidR="00566A6D" w:rsidRPr="00566A6D" w:rsidRDefault="00566A6D" w:rsidP="00566A6D">
      <w:pPr>
        <w:pStyle w:val="Doc-comment"/>
        <w:numPr>
          <w:ilvl w:val="0"/>
          <w:numId w:val="36"/>
        </w:numPr>
        <w:pBdr>
          <w:top w:val="single" w:sz="4" w:space="1" w:color="auto"/>
          <w:left w:val="single" w:sz="4" w:space="4" w:color="auto"/>
          <w:bottom w:val="single" w:sz="4" w:space="1" w:color="auto"/>
          <w:right w:val="single" w:sz="4" w:space="4" w:color="auto"/>
        </w:pBdr>
        <w:jc w:val="both"/>
        <w:rPr>
          <w:i w:val="0"/>
          <w:iCs/>
          <w:lang w:val="en-US"/>
        </w:rPr>
      </w:pPr>
      <w:r w:rsidRPr="00566A6D">
        <w:rPr>
          <w:i w:val="0"/>
          <w:iCs/>
          <w:lang w:val="en-US"/>
        </w:rPr>
        <w:t xml:space="preserve">Support of discontinuous coverage without excessive UE power consumption and without excessive failures / recovery actions, is essential, Expectation that this needs to be taken into account at least for Idle mode, and that this is applicable for all reference scenarios (GEO, MEO and LEO). </w:t>
      </w:r>
    </w:p>
    <w:p w14:paraId="688447F8" w14:textId="0BDE2DDF" w:rsidR="00566A6D" w:rsidRPr="00566A6D" w:rsidRDefault="00566A6D" w:rsidP="00566A6D">
      <w:pPr>
        <w:pStyle w:val="Doc-comment"/>
        <w:numPr>
          <w:ilvl w:val="0"/>
          <w:numId w:val="36"/>
        </w:numPr>
        <w:pBdr>
          <w:top w:val="single" w:sz="4" w:space="1" w:color="auto"/>
          <w:left w:val="single" w:sz="4" w:space="4" w:color="auto"/>
          <w:bottom w:val="single" w:sz="4" w:space="1" w:color="auto"/>
          <w:right w:val="single" w:sz="4" w:space="4" w:color="auto"/>
        </w:pBdr>
        <w:jc w:val="both"/>
        <w:rPr>
          <w:i w:val="0"/>
          <w:iCs/>
          <w:lang w:val="en-US"/>
        </w:rPr>
      </w:pPr>
      <w:r w:rsidRPr="00566A6D">
        <w:rPr>
          <w:i w:val="0"/>
          <w:iCs/>
          <w:lang w:val="en-US"/>
        </w:rPr>
        <w:t xml:space="preserve">For a UE, it shall be possible to predict discontinuous coverage based on the satellite assistance information. To the extent possible/reasonable: The UE is expected to save power by not attempting to camp or connect when coverage is not there. To the extent possible/reasonable: The network is expected not try to reach UEs that are out of coverage. Note that it is still an expected requirement that UE and Network are synchronized w.r.t. when the UE is awake and reachable (e.g. for paging]. </w:t>
      </w:r>
    </w:p>
    <w:p w14:paraId="3DC8560D" w14:textId="77777777" w:rsidR="00566A6D" w:rsidRDefault="00566A6D" w:rsidP="005E56C2">
      <w:pPr>
        <w:pStyle w:val="Comments"/>
        <w:jc w:val="both"/>
        <w:rPr>
          <w:rFonts w:ascii="Times New Roman" w:hAnsi="Times New Roman"/>
          <w:i w:val="0"/>
          <w:iCs/>
          <w:sz w:val="24"/>
        </w:rPr>
      </w:pPr>
    </w:p>
    <w:p w14:paraId="62B19BA9" w14:textId="1F38A7DA" w:rsidR="00AD7812" w:rsidRDefault="00566A6D" w:rsidP="005E56C2">
      <w:pPr>
        <w:pStyle w:val="Comments"/>
        <w:jc w:val="both"/>
        <w:rPr>
          <w:rFonts w:ascii="Times New Roman" w:hAnsi="Times New Roman"/>
          <w:i w:val="0"/>
          <w:iCs/>
          <w:sz w:val="24"/>
        </w:rPr>
      </w:pPr>
      <w:r>
        <w:rPr>
          <w:rFonts w:ascii="Times New Roman" w:hAnsi="Times New Roman"/>
          <w:i w:val="0"/>
          <w:iCs/>
          <w:sz w:val="24"/>
        </w:rPr>
        <w:t>In RAN-92e, a WI</w:t>
      </w:r>
      <w:r w:rsidR="0004744E">
        <w:rPr>
          <w:rFonts w:ascii="Times New Roman" w:hAnsi="Times New Roman"/>
          <w:i w:val="0"/>
          <w:iCs/>
          <w:sz w:val="24"/>
        </w:rPr>
        <w:fldChar w:fldCharType="begin"/>
      </w:r>
      <w:r w:rsidR="0004744E">
        <w:rPr>
          <w:rFonts w:ascii="Times New Roman" w:hAnsi="Times New Roman"/>
          <w:i w:val="0"/>
          <w:iCs/>
          <w:sz w:val="24"/>
        </w:rPr>
        <w:instrText xml:space="preserve"> REF _Ref78297936 \r \h </w:instrText>
      </w:r>
      <w:r w:rsidR="0004744E">
        <w:rPr>
          <w:rFonts w:ascii="Times New Roman" w:hAnsi="Times New Roman"/>
          <w:i w:val="0"/>
          <w:iCs/>
          <w:sz w:val="24"/>
        </w:rPr>
      </w:r>
      <w:r w:rsidR="0004744E">
        <w:rPr>
          <w:rFonts w:ascii="Times New Roman" w:hAnsi="Times New Roman"/>
          <w:i w:val="0"/>
          <w:iCs/>
          <w:sz w:val="24"/>
        </w:rPr>
        <w:fldChar w:fldCharType="separate"/>
      </w:r>
      <w:r w:rsidR="0004744E">
        <w:rPr>
          <w:rFonts w:ascii="Times New Roman" w:hAnsi="Times New Roman"/>
          <w:i w:val="0"/>
          <w:iCs/>
          <w:sz w:val="24"/>
        </w:rPr>
        <w:t>[1]</w:t>
      </w:r>
      <w:r w:rsidR="0004744E">
        <w:rPr>
          <w:rFonts w:ascii="Times New Roman" w:hAnsi="Times New Roman"/>
          <w:i w:val="0"/>
          <w:iCs/>
          <w:sz w:val="24"/>
        </w:rPr>
        <w:fldChar w:fldCharType="end"/>
      </w:r>
      <w:r w:rsidR="0004744E">
        <w:rPr>
          <w:rFonts w:ascii="Times New Roman" w:hAnsi="Times New Roman"/>
          <w:i w:val="0"/>
          <w:iCs/>
          <w:sz w:val="24"/>
        </w:rPr>
        <w:t xml:space="preserve"> </w:t>
      </w:r>
      <w:r>
        <w:rPr>
          <w:rFonts w:ascii="Times New Roman" w:hAnsi="Times New Roman"/>
          <w:i w:val="0"/>
          <w:iCs/>
          <w:sz w:val="24"/>
        </w:rPr>
        <w:t xml:space="preserve">for IoT NTN was agreed. One of the objectives for RAN2 is to support discontinous coverage </w:t>
      </w:r>
      <w:r w:rsidR="0004744E">
        <w:rPr>
          <w:rFonts w:ascii="Times New Roman" w:hAnsi="Times New Roman"/>
          <w:i w:val="0"/>
          <w:iCs/>
          <w:sz w:val="24"/>
        </w:rPr>
        <w:t>without incurring excessive UE power consumption as captured below.</w:t>
      </w:r>
    </w:p>
    <w:p w14:paraId="6C236841" w14:textId="77777777" w:rsidR="00921F34" w:rsidRDefault="00921F34" w:rsidP="005E56C2">
      <w:pPr>
        <w:pStyle w:val="Comments"/>
        <w:jc w:val="both"/>
        <w:rPr>
          <w:rFonts w:ascii="Times New Roman" w:hAnsi="Times New Roman"/>
          <w:i w:val="0"/>
          <w:iCs/>
          <w:sz w:val="24"/>
        </w:rPr>
      </w:pPr>
    </w:p>
    <w:p w14:paraId="70AC06AE" w14:textId="77777777" w:rsidR="0004744E" w:rsidRPr="0004744E" w:rsidRDefault="0004744E" w:rsidP="0004744E">
      <w:pPr>
        <w:pBdr>
          <w:top w:val="single" w:sz="4" w:space="1" w:color="auto"/>
          <w:left w:val="single" w:sz="4" w:space="4" w:color="auto"/>
          <w:bottom w:val="single" w:sz="4" w:space="1" w:color="auto"/>
          <w:right w:val="single" w:sz="4" w:space="4" w:color="auto"/>
        </w:pBdr>
        <w:spacing w:after="180"/>
        <w:contextualSpacing/>
        <w:jc w:val="both"/>
        <w:rPr>
          <w:rFonts w:ascii="Arial" w:eastAsia="MS Mincho" w:hAnsi="Arial"/>
          <w:sz w:val="20"/>
          <w:lang w:val="en-GB" w:eastAsia="en-GB"/>
        </w:rPr>
      </w:pPr>
      <w:r w:rsidRPr="0004744E">
        <w:rPr>
          <w:rFonts w:ascii="Arial" w:eastAsia="MS Mincho" w:hAnsi="Arial"/>
          <w:sz w:val="20"/>
          <w:lang w:val="en-GB" w:eastAsia="en-GB"/>
        </w:rPr>
        <w:t>Others:</w:t>
      </w:r>
    </w:p>
    <w:p w14:paraId="1289434A" w14:textId="77777777" w:rsidR="0004744E" w:rsidRPr="0004744E" w:rsidRDefault="0004744E" w:rsidP="0004744E">
      <w:pPr>
        <w:pBdr>
          <w:top w:val="single" w:sz="4" w:space="1" w:color="auto"/>
          <w:left w:val="single" w:sz="4" w:space="4" w:color="auto"/>
          <w:bottom w:val="single" w:sz="4" w:space="1" w:color="auto"/>
          <w:right w:val="single" w:sz="4" w:space="4" w:color="auto"/>
        </w:pBdr>
        <w:spacing w:after="180"/>
        <w:contextualSpacing/>
        <w:jc w:val="both"/>
        <w:rPr>
          <w:rFonts w:ascii="Arial" w:eastAsia="MS Mincho" w:hAnsi="Arial"/>
          <w:sz w:val="20"/>
          <w:lang w:val="en-GB" w:eastAsia="en-GB"/>
        </w:rPr>
      </w:pPr>
      <w:r w:rsidRPr="0004744E">
        <w:rPr>
          <w:rFonts w:ascii="Arial" w:eastAsia="MS Mincho" w:hAnsi="Arial"/>
          <w:sz w:val="20"/>
          <w:lang w:val="en-GB" w:eastAsia="en-GB"/>
        </w:rPr>
        <w:t>-</w:t>
      </w:r>
      <w:r w:rsidRPr="0004744E">
        <w:rPr>
          <w:rFonts w:ascii="Arial" w:eastAsia="MS Mincho" w:hAnsi="Arial"/>
          <w:sz w:val="20"/>
          <w:lang w:val="en-GB" w:eastAsia="en-GB"/>
        </w:rPr>
        <w:tab/>
        <w:t>Support of discontinuous coverage without excessive UE power consumption and without excessive failures / recovery actions. Minor enhancements to the existing power saving mechanisms e.g. DRX, PSM, eDRX, relaxed monitoring, and (G)WUS can be considered, and if found needed, specified, to support discontinuous coverage;</w:t>
      </w:r>
    </w:p>
    <w:p w14:paraId="4DB45ED2" w14:textId="1BA689E3" w:rsidR="00165712" w:rsidRDefault="00165712" w:rsidP="005E56C2">
      <w:pPr>
        <w:spacing w:after="180"/>
        <w:contextualSpacing/>
        <w:jc w:val="both"/>
        <w:rPr>
          <w:szCs w:val="20"/>
        </w:rPr>
      </w:pPr>
    </w:p>
    <w:p w14:paraId="6B0AB727" w14:textId="005CA2F5" w:rsidR="00191980" w:rsidRPr="009C0798" w:rsidRDefault="008674CA" w:rsidP="005E56C2">
      <w:pPr>
        <w:spacing w:after="180"/>
        <w:contextualSpacing/>
        <w:jc w:val="both"/>
        <w:rPr>
          <w:szCs w:val="20"/>
        </w:rPr>
      </w:pPr>
      <w:r>
        <w:rPr>
          <w:szCs w:val="20"/>
        </w:rPr>
        <w:t xml:space="preserve">In </w:t>
      </w:r>
      <w:r w:rsidR="0004744E">
        <w:rPr>
          <w:szCs w:val="20"/>
        </w:rPr>
        <w:t>this contribution, we provide some views on how this objective can be achieved.</w:t>
      </w:r>
    </w:p>
    <w:p w14:paraId="0992D43A" w14:textId="2D193374" w:rsidR="00614C18" w:rsidRDefault="00EA5A5B" w:rsidP="005E56C2">
      <w:pPr>
        <w:pStyle w:val="Heading1"/>
        <w:jc w:val="both"/>
      </w:pPr>
      <w:r>
        <w:t>Discussion</w:t>
      </w:r>
    </w:p>
    <w:p w14:paraId="1BB69167" w14:textId="6242A6B5" w:rsidR="00EB1DF7" w:rsidRDefault="00EB1DF7" w:rsidP="00EB1DF7">
      <w:r>
        <w:t>It is expected that coverage holes can occur in NTN systems if the number of satellites is insufficient. Such a scenario is likely to arise for initial deployments of LEO/MEO systems. Coverage holes can be both spatial and temporal</w:t>
      </w:r>
      <w:r w:rsidR="003C0B7C">
        <w:t xml:space="preserve"> as explained below.</w:t>
      </w:r>
    </w:p>
    <w:p w14:paraId="3202520C" w14:textId="77777777" w:rsidR="003C0B7C" w:rsidRDefault="003C0B7C" w:rsidP="00EB1DF7"/>
    <w:p w14:paraId="6286B5F5" w14:textId="47746688" w:rsidR="00EB1DF7" w:rsidRDefault="00EB1DF7" w:rsidP="00EB1DF7">
      <w:r w:rsidRPr="003C0B7C">
        <w:rPr>
          <w:b/>
          <w:bCs/>
        </w:rPr>
        <w:t>Spatial:</w:t>
      </w:r>
      <w:r>
        <w:t xml:space="preserve"> </w:t>
      </w:r>
      <w:r w:rsidR="003C0B7C">
        <w:t>If the satellite system does not cover some geographic areas, then a mobile IoT device may suffer from discontinuous coverage.</w:t>
      </w:r>
    </w:p>
    <w:p w14:paraId="578E4C64" w14:textId="4A6413BE" w:rsidR="003C0B7C" w:rsidRDefault="003C0B7C" w:rsidP="00EB1DF7">
      <w:r w:rsidRPr="003C0B7C">
        <w:rPr>
          <w:b/>
          <w:bCs/>
        </w:rPr>
        <w:t>Temporal:</w:t>
      </w:r>
      <w:r>
        <w:t xml:space="preserve"> Due to satellite movement, some geographic areas may not be illuminated at some times. Even stationary IoT devices in such areas can then experience spotty coverage.</w:t>
      </w:r>
    </w:p>
    <w:p w14:paraId="7C5643AD" w14:textId="37CA1C37" w:rsidR="003C0B7C" w:rsidRDefault="003C0B7C" w:rsidP="00EB1DF7">
      <w:r>
        <w:lastRenderedPageBreak/>
        <w:t xml:space="preserve">We observe that, in many scenarios, the UE can predict the availability of the NTN system. For instance, the WI has a working assumption that the UE is equipped with GNSS capability. The WI also seeks to develop mechanisms to deliver satellite ephemeris </w:t>
      </w:r>
      <w:r w:rsidR="005A5F1F">
        <w:t xml:space="preserve">to the UE. The UE can then exploit its knowledge of UE location and UE movement, and satellite ephemeris to predict when and where the UE is out of coverage. The UE can also employ implementation specific mechanisms (e.g., </w:t>
      </w:r>
      <w:r w:rsidR="00A8323F">
        <w:t>history</w:t>
      </w:r>
      <w:r w:rsidR="005A5F1F">
        <w:t xml:space="preserve"> of availability correlated with time and location) to predict coverage. On the other hand, the network is typically not able to accurately predict whether a certain UE is likely to be in coverage or not. For idle mode UEs, the network has only limited visibility about the UE’s position (at the granularity of a tracking area). Even for connected mode UEs, predict</w:t>
      </w:r>
      <w:r w:rsidR="002779D4">
        <w:t>ing</w:t>
      </w:r>
      <w:r w:rsidR="005A5F1F">
        <w:t xml:space="preserve"> availability </w:t>
      </w:r>
      <w:r w:rsidR="002779D4">
        <w:t xml:space="preserve">at the </w:t>
      </w:r>
      <w:proofErr w:type="spellStart"/>
      <w:r w:rsidR="002779D4">
        <w:t>eNB</w:t>
      </w:r>
      <w:proofErr w:type="spellEnd"/>
      <w:r w:rsidR="002779D4">
        <w:t xml:space="preserve"> </w:t>
      </w:r>
      <w:r w:rsidR="005A5F1F">
        <w:t>appears to be challenging since the NTN service area can be quite large, and the network may only have limited knowledge of UE location and movement.</w:t>
      </w:r>
    </w:p>
    <w:p w14:paraId="3797D984" w14:textId="638B7375" w:rsidR="00EB1DF7" w:rsidRDefault="00EB1DF7" w:rsidP="00EB1DF7"/>
    <w:p w14:paraId="7BAFC69E" w14:textId="5C6D78C7" w:rsidR="008674CA" w:rsidRPr="00FD5F35" w:rsidRDefault="00D45D3F" w:rsidP="008674CA">
      <w:pPr>
        <w:rPr>
          <w:b/>
          <w:bCs/>
        </w:rPr>
      </w:pPr>
      <w:r w:rsidRPr="00FD5F35">
        <w:rPr>
          <w:b/>
          <w:bCs/>
        </w:rPr>
        <w:t>Observation 1: Knowledge of UE location, UE movement, and satellite ephemeris implies that the UE is in the best position to know when and where the UE is likely to be in and out of NTN coverage.</w:t>
      </w:r>
    </w:p>
    <w:p w14:paraId="6EBF57FC" w14:textId="3D9F5BC1" w:rsidR="00D45D3F" w:rsidRDefault="00D45D3F" w:rsidP="008674CA"/>
    <w:p w14:paraId="258FC2AC" w14:textId="4E5FA2E5" w:rsidR="00D45D3F" w:rsidRDefault="005637EB" w:rsidP="008674CA">
      <w:r>
        <w:t>Since the UE can reliably predict when and where it is likely to be out of coverage, it is reasonable for the UE to inform the network when it detects that it is going to be out of coverage. With such signaling, the UE and the network can gracefully manage the transition of the UE from in-coverage to out-of-coverage status.</w:t>
      </w:r>
    </w:p>
    <w:p w14:paraId="45F9106B" w14:textId="7EF7C1EB" w:rsidR="005637EB" w:rsidRDefault="005637EB" w:rsidP="008674CA"/>
    <w:p w14:paraId="01D7478A" w14:textId="76B2FD7C" w:rsidR="005637EB" w:rsidRPr="00FD5F35" w:rsidRDefault="005637EB" w:rsidP="008674CA">
      <w:pPr>
        <w:rPr>
          <w:b/>
          <w:bCs/>
        </w:rPr>
      </w:pPr>
      <w:r w:rsidRPr="00FD5F35">
        <w:rPr>
          <w:b/>
          <w:bCs/>
        </w:rPr>
        <w:t>Proposal 1: The UE informs the network when it expects to be out of coverage.</w:t>
      </w:r>
    </w:p>
    <w:p w14:paraId="4BB375DB" w14:textId="3EBD3D7B" w:rsidR="005637EB" w:rsidRPr="00FD5F35" w:rsidRDefault="005637EB" w:rsidP="008674CA">
      <w:pPr>
        <w:rPr>
          <w:b/>
          <w:bCs/>
        </w:rPr>
      </w:pPr>
    </w:p>
    <w:p w14:paraId="6ADA2CC8" w14:textId="23359689" w:rsidR="00FD5F35" w:rsidRDefault="00FD5F35" w:rsidP="008674CA">
      <w:r>
        <w:t>Once, the UE is out of coverage, we expect that the UE can power down to conserve energy. When the UE detects that it is back in coverage, then it can establish a</w:t>
      </w:r>
      <w:r w:rsidR="008E752E">
        <w:t>n</w:t>
      </w:r>
      <w:r>
        <w:t xml:space="preserve"> RRC connection with the network.</w:t>
      </w:r>
    </w:p>
    <w:p w14:paraId="07373658" w14:textId="6C2C7454" w:rsidR="00FD5F35" w:rsidRDefault="00FD5F35" w:rsidP="008674CA"/>
    <w:p w14:paraId="0077BAB9" w14:textId="5B36B564" w:rsidR="00FD5F35" w:rsidRPr="008E752E" w:rsidRDefault="00FD5F35" w:rsidP="008674CA">
      <w:pPr>
        <w:rPr>
          <w:b/>
          <w:bCs/>
        </w:rPr>
      </w:pPr>
      <w:r w:rsidRPr="008E752E">
        <w:rPr>
          <w:b/>
          <w:bCs/>
        </w:rPr>
        <w:t xml:space="preserve">Proposal 2: Once the UE is out-of-coverage, it is up to UE implementation to detect when it is back in coverage </w:t>
      </w:r>
      <w:r w:rsidR="008E752E" w:rsidRPr="008E752E">
        <w:rPr>
          <w:b/>
          <w:bCs/>
        </w:rPr>
        <w:t>and establish an RRC connection with the network.</w:t>
      </w:r>
    </w:p>
    <w:p w14:paraId="5CD99BA9" w14:textId="77777777" w:rsidR="008E752E" w:rsidRDefault="008E752E" w:rsidP="008674CA"/>
    <w:p w14:paraId="5C40D603" w14:textId="2E401108" w:rsidR="00FD5F35" w:rsidRDefault="00FD5F35" w:rsidP="008674CA">
      <w:r>
        <w:t>The UE may additionally provide the network with some assistance information to enable the network to figure when and where the UE is expected to be back in coverage. However, we view provision of assistance information as an optimization rather than as an essential requirement.</w:t>
      </w:r>
    </w:p>
    <w:p w14:paraId="7F848B04" w14:textId="1AD613DD" w:rsidR="00FD5F35" w:rsidRDefault="00FD5F35" w:rsidP="008674CA"/>
    <w:p w14:paraId="21C4BF0F" w14:textId="06DA939C" w:rsidR="00FD5F35" w:rsidRPr="008E752E" w:rsidRDefault="00FD5F35" w:rsidP="008674CA">
      <w:pPr>
        <w:rPr>
          <w:b/>
          <w:bCs/>
        </w:rPr>
      </w:pPr>
      <w:r w:rsidRPr="008E752E">
        <w:rPr>
          <w:b/>
          <w:bCs/>
        </w:rPr>
        <w:t xml:space="preserve">Proposal </w:t>
      </w:r>
      <w:r w:rsidR="008E752E" w:rsidRPr="008E752E">
        <w:rPr>
          <w:b/>
          <w:bCs/>
        </w:rPr>
        <w:t>3</w:t>
      </w:r>
      <w:r w:rsidRPr="008E752E">
        <w:rPr>
          <w:b/>
          <w:bCs/>
        </w:rPr>
        <w:t>: Time permitting, RAN2 can specify assistance information that the UE can provide to enable the network to detect when and where the UE will be back in coverage.</w:t>
      </w:r>
    </w:p>
    <w:p w14:paraId="313DE327" w14:textId="77777777" w:rsidR="00FD5F35" w:rsidRDefault="00FD5F35" w:rsidP="008674CA"/>
    <w:p w14:paraId="7CEC793D" w14:textId="38E28527" w:rsidR="005637EB" w:rsidRDefault="005637EB" w:rsidP="008674CA">
      <w:r>
        <w:t xml:space="preserve">When </w:t>
      </w:r>
      <w:r w:rsidR="00FD5F35">
        <w:t>RAN</w:t>
      </w:r>
      <w:r>
        <w:t xml:space="preserve"> receives information from the UE that it is likely to be out of coverage, then the</w:t>
      </w:r>
      <w:r w:rsidR="00FD5F35">
        <w:t xml:space="preserve"> RAN</w:t>
      </w:r>
      <w:r>
        <w:t xml:space="preserve"> can </w:t>
      </w:r>
      <w:r w:rsidR="00FD5F35">
        <w:t>instruct the UE to transition to RRC idle or RRC inactive state. Since the latter is only possible if the RAN is connected to 5GC, and the WID only intends to support EP</w:t>
      </w:r>
      <w:r w:rsidR="008E752E">
        <w:t xml:space="preserve">C, for Release 17 at least, the only option is for RAN to send the UE to RRC idle. However, in this case, the UE will not simply transit to RRC idle; instead it will stop attempting to camp on any </w:t>
      </w:r>
      <w:r w:rsidR="007C4ED9">
        <w:t>cell and</w:t>
      </w:r>
      <w:r w:rsidR="008E752E">
        <w:t xml:space="preserve"> be unreachable for paging purposes as long as the UE is out of coverage.</w:t>
      </w:r>
    </w:p>
    <w:p w14:paraId="5234A98D" w14:textId="49596E13" w:rsidR="008E752E" w:rsidRDefault="008E752E" w:rsidP="008674CA"/>
    <w:p w14:paraId="5625A550" w14:textId="7EDCE4F5" w:rsidR="008E752E" w:rsidRPr="00BC286B" w:rsidRDefault="008E752E" w:rsidP="008674CA">
      <w:pPr>
        <w:rPr>
          <w:b/>
          <w:bCs/>
        </w:rPr>
      </w:pPr>
      <w:r w:rsidRPr="00BC286B">
        <w:rPr>
          <w:b/>
          <w:bCs/>
        </w:rPr>
        <w:t xml:space="preserve">Proposal 4: Once RAN instructs the UE to transit to </w:t>
      </w:r>
      <w:r w:rsidR="002779D4">
        <w:rPr>
          <w:b/>
          <w:bCs/>
        </w:rPr>
        <w:t>release the RRC connection</w:t>
      </w:r>
      <w:r w:rsidRPr="00BC286B">
        <w:rPr>
          <w:b/>
          <w:bCs/>
        </w:rPr>
        <w:t xml:space="preserve"> on receipt of out-of-coverage indication as per Proposal 1, RAN should consider the UE unreachable (e.g., for paging purposes) till such time as the UE establishes an RRC connection (as per Proposal 2).</w:t>
      </w:r>
    </w:p>
    <w:p w14:paraId="2BEB7F81" w14:textId="77777777" w:rsidR="008E752E" w:rsidRDefault="008E752E" w:rsidP="008674CA"/>
    <w:p w14:paraId="06E09F4E" w14:textId="0F6DE54D" w:rsidR="008E752E" w:rsidRDefault="00F5623D" w:rsidP="008674CA">
      <w:r>
        <w:t xml:space="preserve">The mechanism of the UE informing the network that it expects to be out of coverage is similar in spirit to the </w:t>
      </w:r>
      <w:r w:rsidR="00F54B69">
        <w:t>“</w:t>
      </w:r>
      <w:r>
        <w:t>graceful exit</w:t>
      </w:r>
      <w:r w:rsidR="00F54B69">
        <w:t>”</w:t>
      </w:r>
      <w:r>
        <w:t xml:space="preserve"> procedure being developed as part of the Release 17 MUSIM feature. RAN2 has agreed in R2-114e </w:t>
      </w:r>
      <w:r w:rsidR="00BC286B">
        <w:fldChar w:fldCharType="begin"/>
      </w:r>
      <w:r w:rsidR="00BC286B">
        <w:instrText xml:space="preserve"> REF _Ref78818693 \r \h </w:instrText>
      </w:r>
      <w:r w:rsidR="00BC286B">
        <w:fldChar w:fldCharType="separate"/>
      </w:r>
      <w:r w:rsidR="00BC286B">
        <w:t>[2]</w:t>
      </w:r>
      <w:r w:rsidR="00BC286B">
        <w:fldChar w:fldCharType="end"/>
      </w:r>
      <w:r w:rsidR="00BC286B">
        <w:t xml:space="preserve"> </w:t>
      </w:r>
      <w:r>
        <w:t xml:space="preserve">that, “at least AS-based solution (with AS-based response) for </w:t>
      </w:r>
      <w:r>
        <w:lastRenderedPageBreak/>
        <w:t>network switching while leaving RRC_Connected state in NW A” will be supported. This MUSIM mechanism can be repurposed to allow the UE to inform the network that it is going out of coverage.</w:t>
      </w:r>
    </w:p>
    <w:p w14:paraId="33FEB540" w14:textId="4D7C1A69" w:rsidR="00F5623D" w:rsidRDefault="00F5623D" w:rsidP="008674CA"/>
    <w:p w14:paraId="2D0E16E5" w14:textId="2EB2022E" w:rsidR="00F5623D" w:rsidRPr="00BC286B" w:rsidRDefault="00F5623D" w:rsidP="008674CA">
      <w:pPr>
        <w:rPr>
          <w:b/>
          <w:bCs/>
        </w:rPr>
      </w:pPr>
      <w:r w:rsidRPr="00BC286B">
        <w:rPr>
          <w:b/>
          <w:bCs/>
        </w:rPr>
        <w:t>Proposal 5: The MUSIM mechanism for graceful exit can be simplified and adapted for the IoT NTN feature to allow the UE to inform the network that it is going out of coverage.</w:t>
      </w:r>
    </w:p>
    <w:p w14:paraId="7E0A5A33" w14:textId="6E335F45" w:rsidR="00F5623D" w:rsidRDefault="00F5623D" w:rsidP="008674CA"/>
    <w:p w14:paraId="43DAC6F0" w14:textId="6A4B8D72" w:rsidR="00F5623D" w:rsidRDefault="00585371" w:rsidP="008674CA">
      <w:r>
        <w:t>To ensure that UEs behave consistently, and for the network to control how the UE can use the mechanism proposed in Proposal 1 and Proposal 5, it should be possible for the network to control when and where the UE can invoke this mechanism. For example, the network can configure the UE to trigger the mechanism resulting in RRC Release when the UE is within a certain area (e.g., a circular area defined by lat-long coordinates) or at certain times, or a combination of these factors.</w:t>
      </w:r>
    </w:p>
    <w:p w14:paraId="6F7E4DB7" w14:textId="5B78569F" w:rsidR="00585371" w:rsidRDefault="00585371" w:rsidP="008674CA"/>
    <w:p w14:paraId="329FF664" w14:textId="6F7EBDD9" w:rsidR="00585371" w:rsidRPr="00BC286B" w:rsidRDefault="00585371" w:rsidP="008674CA">
      <w:pPr>
        <w:rPr>
          <w:b/>
          <w:bCs/>
        </w:rPr>
      </w:pPr>
      <w:r w:rsidRPr="00BC286B">
        <w:rPr>
          <w:b/>
          <w:bCs/>
        </w:rPr>
        <w:t>Proposal 6: The network should be able to configure conditions (e.g., location and/or time) under which the UE can request its RRC state to be release</w:t>
      </w:r>
    </w:p>
    <w:p w14:paraId="2896E657" w14:textId="4656D4A6" w:rsidR="00854A60" w:rsidRPr="00A6576F" w:rsidRDefault="009C5A97" w:rsidP="005E56C2">
      <w:pPr>
        <w:pStyle w:val="Heading1"/>
        <w:jc w:val="both"/>
      </w:pPr>
      <w:r w:rsidRPr="00A6576F">
        <w:t>Conclusion</w:t>
      </w:r>
      <w:r w:rsidR="00F54B69">
        <w:t>s</w:t>
      </w:r>
    </w:p>
    <w:p w14:paraId="556F59BC" w14:textId="5D4E1F33" w:rsidR="004B2863" w:rsidRPr="00F54B69" w:rsidRDefault="00F54B69" w:rsidP="00FE2261">
      <w:pPr>
        <w:jc w:val="both"/>
        <w:rPr>
          <w:iCs/>
        </w:rPr>
      </w:pPr>
      <w:r>
        <w:rPr>
          <w:iCs/>
        </w:rPr>
        <w:t>In this document, we provide our views on how discontinuous coverage can be handled in IoT NTN systems. Our observations and proposals are summarized below.</w:t>
      </w:r>
    </w:p>
    <w:p w14:paraId="2BD25EBC" w14:textId="08EB26A6" w:rsidR="004B2863" w:rsidRDefault="004B2863" w:rsidP="004B2863">
      <w:pPr>
        <w:jc w:val="both"/>
        <w:rPr>
          <w:iCs/>
        </w:rPr>
      </w:pPr>
    </w:p>
    <w:p w14:paraId="09EBB39B" w14:textId="77777777" w:rsidR="00BC286B" w:rsidRPr="00FD5F35" w:rsidRDefault="00BC286B" w:rsidP="00BC286B">
      <w:pPr>
        <w:rPr>
          <w:b/>
          <w:bCs/>
        </w:rPr>
      </w:pPr>
      <w:r w:rsidRPr="00FD5F35">
        <w:rPr>
          <w:b/>
          <w:bCs/>
        </w:rPr>
        <w:t>Observation 1: Knowledge of UE location, UE movement, and satellite ephemeris implies that the UE is in the best position to know when and where the UE is likely to be in and out of NTN coverage.</w:t>
      </w:r>
    </w:p>
    <w:p w14:paraId="32560678" w14:textId="77777777" w:rsidR="00BC286B" w:rsidRDefault="00BC286B" w:rsidP="00BC286B"/>
    <w:p w14:paraId="311CFB61" w14:textId="3FE490E1" w:rsidR="00BC286B" w:rsidRDefault="00BC286B" w:rsidP="00BC286B">
      <w:pPr>
        <w:rPr>
          <w:b/>
          <w:bCs/>
        </w:rPr>
      </w:pPr>
      <w:r w:rsidRPr="00FD5F35">
        <w:rPr>
          <w:b/>
          <w:bCs/>
        </w:rPr>
        <w:t>Proposal 1: The UE informs the network when it expects to be out of coverage.</w:t>
      </w:r>
    </w:p>
    <w:p w14:paraId="3E96DD02" w14:textId="77777777" w:rsidR="00BC286B" w:rsidRPr="00FD5F35" w:rsidRDefault="00BC286B" w:rsidP="00BC286B">
      <w:pPr>
        <w:rPr>
          <w:b/>
          <w:bCs/>
        </w:rPr>
      </w:pPr>
    </w:p>
    <w:p w14:paraId="1A1B7036" w14:textId="77777777" w:rsidR="00BC286B" w:rsidRPr="008E752E" w:rsidRDefault="00BC286B" w:rsidP="00BC286B">
      <w:pPr>
        <w:rPr>
          <w:b/>
          <w:bCs/>
        </w:rPr>
      </w:pPr>
      <w:r w:rsidRPr="008E752E">
        <w:rPr>
          <w:b/>
          <w:bCs/>
        </w:rPr>
        <w:t>Proposal 2: Once the UE is out-of-coverage, it is up to UE implementation to detect when it is back in coverage and establish an RRC connection with the network.</w:t>
      </w:r>
    </w:p>
    <w:p w14:paraId="263D39D8" w14:textId="77777777" w:rsidR="00BC286B" w:rsidRDefault="00BC286B" w:rsidP="00BC286B"/>
    <w:p w14:paraId="15E0E4B2" w14:textId="77777777" w:rsidR="00BC286B" w:rsidRPr="008E752E" w:rsidRDefault="00BC286B" w:rsidP="00BC286B">
      <w:pPr>
        <w:rPr>
          <w:b/>
          <w:bCs/>
        </w:rPr>
      </w:pPr>
      <w:r w:rsidRPr="008E752E">
        <w:rPr>
          <w:b/>
          <w:bCs/>
        </w:rPr>
        <w:t>Proposal 3: Time permitting, RAN2 can specify assistance information that the UE can provide to enable the network to detect when and where the UE will be back in coverage.</w:t>
      </w:r>
    </w:p>
    <w:p w14:paraId="658E2B2E" w14:textId="77777777" w:rsidR="00BC286B" w:rsidRDefault="00BC286B" w:rsidP="00BC286B">
      <w:pPr>
        <w:rPr>
          <w:b/>
          <w:bCs/>
        </w:rPr>
      </w:pPr>
    </w:p>
    <w:p w14:paraId="03FB48AF" w14:textId="52FF7D60" w:rsidR="00BC286B" w:rsidRPr="00BC286B" w:rsidRDefault="00BC286B" w:rsidP="00BC286B">
      <w:pPr>
        <w:rPr>
          <w:b/>
          <w:bCs/>
        </w:rPr>
      </w:pPr>
      <w:r w:rsidRPr="00BC286B">
        <w:rPr>
          <w:b/>
          <w:bCs/>
        </w:rPr>
        <w:t xml:space="preserve">Proposal 4: Once RAN instructs the UE to </w:t>
      </w:r>
      <w:r w:rsidR="002779D4">
        <w:rPr>
          <w:b/>
          <w:bCs/>
        </w:rPr>
        <w:t>release the</w:t>
      </w:r>
      <w:r w:rsidRPr="00BC286B">
        <w:rPr>
          <w:b/>
          <w:bCs/>
        </w:rPr>
        <w:t xml:space="preserve"> RRC </w:t>
      </w:r>
      <w:r w:rsidR="002779D4">
        <w:rPr>
          <w:b/>
          <w:bCs/>
        </w:rPr>
        <w:t>connection</w:t>
      </w:r>
      <w:r w:rsidRPr="00BC286B">
        <w:rPr>
          <w:b/>
          <w:bCs/>
        </w:rPr>
        <w:t xml:space="preserve"> on receipt of out-of-coverage indication as per Proposal 1, RAN should consider the UE unreachable (e.g., for paging purposes) till such time as the UE establishes an RRC connection (as per Proposal 2).</w:t>
      </w:r>
    </w:p>
    <w:p w14:paraId="4036738A" w14:textId="77777777" w:rsidR="00BC286B" w:rsidRDefault="00BC286B" w:rsidP="004B2863">
      <w:pPr>
        <w:jc w:val="both"/>
        <w:rPr>
          <w:iCs/>
        </w:rPr>
      </w:pPr>
    </w:p>
    <w:p w14:paraId="14E2E72A" w14:textId="77777777" w:rsidR="00BC286B" w:rsidRPr="00BC286B" w:rsidRDefault="00BC286B" w:rsidP="00BC286B">
      <w:pPr>
        <w:rPr>
          <w:b/>
          <w:bCs/>
        </w:rPr>
      </w:pPr>
      <w:r w:rsidRPr="00BC286B">
        <w:rPr>
          <w:b/>
          <w:bCs/>
        </w:rPr>
        <w:t>Proposal 5: The MUSIM mechanism for graceful exit can be simplified and adapted for the IoT NTN feature to allow the UE to inform the network that it is going out of coverage.</w:t>
      </w:r>
    </w:p>
    <w:p w14:paraId="71B4B24E" w14:textId="77777777" w:rsidR="00BC286B" w:rsidRDefault="00BC286B" w:rsidP="004B2863">
      <w:pPr>
        <w:jc w:val="both"/>
        <w:rPr>
          <w:iCs/>
        </w:rPr>
      </w:pPr>
    </w:p>
    <w:p w14:paraId="48B7E453" w14:textId="3CA96454" w:rsidR="00BC286B" w:rsidRPr="00BC286B" w:rsidRDefault="00BC286B" w:rsidP="00BC286B">
      <w:pPr>
        <w:rPr>
          <w:b/>
          <w:bCs/>
        </w:rPr>
      </w:pPr>
      <w:r w:rsidRPr="00BC286B">
        <w:rPr>
          <w:b/>
          <w:bCs/>
        </w:rPr>
        <w:t>Proposal 6: The network should be able to configure conditions (e.g., location and/or time) under which the UE can request its RRC state to be release</w:t>
      </w:r>
    </w:p>
    <w:p w14:paraId="2E75F001" w14:textId="77777777" w:rsidR="007E70BB" w:rsidRPr="00A6576F" w:rsidRDefault="005C63AE" w:rsidP="005E56C2">
      <w:pPr>
        <w:pStyle w:val="Heading1"/>
        <w:jc w:val="both"/>
      </w:pPr>
      <w:r w:rsidRPr="00A6576F">
        <w:t>References</w:t>
      </w:r>
    </w:p>
    <w:p w14:paraId="61234DA4" w14:textId="77777777" w:rsidR="00F54B69" w:rsidRDefault="0004744E" w:rsidP="0004744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78297936"/>
      <w:r>
        <w:t>RP-211601, WID on NB-IoT/eMTC support for NTN</w:t>
      </w:r>
      <w:bookmarkEnd w:id="0"/>
      <w:r w:rsidR="00F54B69" w:rsidRPr="00F54B69">
        <w:t xml:space="preserve"> </w:t>
      </w:r>
    </w:p>
    <w:p w14:paraId="5341BAF5" w14:textId="6AD1EDD8" w:rsidR="00FC51A5" w:rsidRPr="0015496C" w:rsidRDefault="00F54B69" w:rsidP="0004744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78818693"/>
      <w:r w:rsidRPr="00F54B69">
        <w:t>R2-2106471</w:t>
      </w:r>
      <w:r>
        <w:t xml:space="preserve">, </w:t>
      </w:r>
      <w:r w:rsidRPr="00F54B69">
        <w:t>Report on LTE legacy, Mobility, DCCA, Multi-SIM and RAN slicin</w:t>
      </w:r>
      <w:r>
        <w:t xml:space="preserve">g, </w:t>
      </w:r>
      <w:r w:rsidRPr="00F54B69">
        <w:t>Vice Chairman (Nokia)</w:t>
      </w:r>
      <w:bookmarkEnd w:id="1"/>
    </w:p>
    <w:sectPr w:rsidR="00FC51A5" w:rsidRPr="0015496C"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39BF7" w14:textId="77777777" w:rsidR="006074CE" w:rsidRDefault="006074CE">
      <w:r>
        <w:separator/>
      </w:r>
    </w:p>
  </w:endnote>
  <w:endnote w:type="continuationSeparator" w:id="0">
    <w:p w14:paraId="7F04038C" w14:textId="77777777" w:rsidR="006074CE" w:rsidRDefault="006074CE">
      <w:r>
        <w:continuationSeparator/>
      </w:r>
    </w:p>
  </w:endnote>
  <w:endnote w:type="continuationNotice" w:id="1">
    <w:p w14:paraId="6BED6540" w14:textId="77777777" w:rsidR="006074CE" w:rsidRDefault="006074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1E653" w14:textId="77777777" w:rsidR="006074CE" w:rsidRDefault="006074CE">
      <w:r>
        <w:separator/>
      </w:r>
    </w:p>
  </w:footnote>
  <w:footnote w:type="continuationSeparator" w:id="0">
    <w:p w14:paraId="37EDC0D3" w14:textId="77777777" w:rsidR="006074CE" w:rsidRDefault="006074CE">
      <w:r>
        <w:continuationSeparator/>
      </w:r>
    </w:p>
  </w:footnote>
  <w:footnote w:type="continuationNotice" w:id="1">
    <w:p w14:paraId="45B97D7A" w14:textId="77777777" w:rsidR="006074CE" w:rsidRDefault="006074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A3D19"/>
    <w:multiLevelType w:val="hybridMultilevel"/>
    <w:tmpl w:val="FA88D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20"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8"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7115071"/>
    <w:multiLevelType w:val="hybridMultilevel"/>
    <w:tmpl w:val="A5D69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1"/>
  </w:num>
  <w:num w:numId="3">
    <w:abstractNumId w:val="14"/>
  </w:num>
  <w:num w:numId="4">
    <w:abstractNumId w:val="16"/>
  </w:num>
  <w:num w:numId="5">
    <w:abstractNumId w:val="10"/>
  </w:num>
  <w:num w:numId="6">
    <w:abstractNumId w:val="18"/>
  </w:num>
  <w:num w:numId="7">
    <w:abstractNumId w:val="25"/>
  </w:num>
  <w:num w:numId="8">
    <w:abstractNumId w:val="11"/>
  </w:num>
  <w:num w:numId="9">
    <w:abstractNumId w:val="22"/>
  </w:num>
  <w:num w:numId="10">
    <w:abstractNumId w:val="1"/>
  </w:num>
  <w:num w:numId="11">
    <w:abstractNumId w:val="27"/>
  </w:num>
  <w:num w:numId="12">
    <w:abstractNumId w:val="3"/>
  </w:num>
  <w:num w:numId="13">
    <w:abstractNumId w:val="24"/>
  </w:num>
  <w:num w:numId="14">
    <w:abstractNumId w:val="17"/>
  </w:num>
  <w:num w:numId="15">
    <w:abstractNumId w:val="32"/>
  </w:num>
  <w:num w:numId="16">
    <w:abstractNumId w:val="35"/>
  </w:num>
  <w:num w:numId="17">
    <w:abstractNumId w:val="9"/>
  </w:num>
  <w:num w:numId="18">
    <w:abstractNumId w:val="26"/>
  </w:num>
  <w:num w:numId="19">
    <w:abstractNumId w:val="12"/>
  </w:num>
  <w:num w:numId="20">
    <w:abstractNumId w:val="8"/>
  </w:num>
  <w:num w:numId="21">
    <w:abstractNumId w:val="23"/>
  </w:num>
  <w:num w:numId="22">
    <w:abstractNumId w:val="4"/>
  </w:num>
  <w:num w:numId="23">
    <w:abstractNumId w:val="20"/>
  </w:num>
  <w:num w:numId="24">
    <w:abstractNumId w:val="30"/>
  </w:num>
  <w:num w:numId="25">
    <w:abstractNumId w:val="34"/>
  </w:num>
  <w:num w:numId="26">
    <w:abstractNumId w:val="19"/>
  </w:num>
  <w:num w:numId="27">
    <w:abstractNumId w:val="15"/>
  </w:num>
  <w:num w:numId="28">
    <w:abstractNumId w:val="7"/>
  </w:num>
  <w:num w:numId="29">
    <w:abstractNumId w:val="33"/>
  </w:num>
  <w:num w:numId="30">
    <w:abstractNumId w:val="5"/>
  </w:num>
  <w:num w:numId="31">
    <w:abstractNumId w:val="29"/>
  </w:num>
  <w:num w:numId="32">
    <w:abstractNumId w:val="28"/>
  </w:num>
  <w:num w:numId="33">
    <w:abstractNumId w:val="6"/>
  </w:num>
  <w:num w:numId="34">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5">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6">
    <w:abstractNumId w:val="31"/>
  </w:num>
  <w:num w:numId="3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4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pt-B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E8D"/>
    <w:rsid w:val="00006446"/>
    <w:rsid w:val="0000685E"/>
    <w:rsid w:val="00006896"/>
    <w:rsid w:val="00006B58"/>
    <w:rsid w:val="00007198"/>
    <w:rsid w:val="000072C8"/>
    <w:rsid w:val="00007CDC"/>
    <w:rsid w:val="00007E8B"/>
    <w:rsid w:val="00007EF0"/>
    <w:rsid w:val="000102B4"/>
    <w:rsid w:val="0001039D"/>
    <w:rsid w:val="000104B8"/>
    <w:rsid w:val="00010BEE"/>
    <w:rsid w:val="000117C7"/>
    <w:rsid w:val="00011837"/>
    <w:rsid w:val="00011B28"/>
    <w:rsid w:val="00012594"/>
    <w:rsid w:val="0001274F"/>
    <w:rsid w:val="00013762"/>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6F5"/>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44E"/>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6A"/>
    <w:rsid w:val="000708A3"/>
    <w:rsid w:val="00071F96"/>
    <w:rsid w:val="000721FE"/>
    <w:rsid w:val="00072B34"/>
    <w:rsid w:val="0007330B"/>
    <w:rsid w:val="00075AB6"/>
    <w:rsid w:val="00075C5D"/>
    <w:rsid w:val="00076213"/>
    <w:rsid w:val="0007717C"/>
    <w:rsid w:val="00077B17"/>
    <w:rsid w:val="00077D33"/>
    <w:rsid w:val="00077E5F"/>
    <w:rsid w:val="0008036A"/>
    <w:rsid w:val="0008055F"/>
    <w:rsid w:val="00080878"/>
    <w:rsid w:val="00080A67"/>
    <w:rsid w:val="00080ED3"/>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F81"/>
    <w:rsid w:val="000F3BE9"/>
    <w:rsid w:val="000F3F6C"/>
    <w:rsid w:val="000F4E73"/>
    <w:rsid w:val="000F5184"/>
    <w:rsid w:val="000F63FD"/>
    <w:rsid w:val="000F6DF3"/>
    <w:rsid w:val="000F75D8"/>
    <w:rsid w:val="001002DA"/>
    <w:rsid w:val="001005FF"/>
    <w:rsid w:val="001007F2"/>
    <w:rsid w:val="00100D9C"/>
    <w:rsid w:val="001012B0"/>
    <w:rsid w:val="00102304"/>
    <w:rsid w:val="0010434A"/>
    <w:rsid w:val="001045CC"/>
    <w:rsid w:val="00104D81"/>
    <w:rsid w:val="001054E8"/>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496C"/>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6E22"/>
    <w:rsid w:val="001770A8"/>
    <w:rsid w:val="00177795"/>
    <w:rsid w:val="00177B93"/>
    <w:rsid w:val="001801A7"/>
    <w:rsid w:val="00180B4A"/>
    <w:rsid w:val="0018143F"/>
    <w:rsid w:val="001815BA"/>
    <w:rsid w:val="001815DD"/>
    <w:rsid w:val="00181A6B"/>
    <w:rsid w:val="00182925"/>
    <w:rsid w:val="00182BF3"/>
    <w:rsid w:val="001836C2"/>
    <w:rsid w:val="001836F6"/>
    <w:rsid w:val="00183ED8"/>
    <w:rsid w:val="00184052"/>
    <w:rsid w:val="00184A9B"/>
    <w:rsid w:val="00185D66"/>
    <w:rsid w:val="00186D59"/>
    <w:rsid w:val="001871DD"/>
    <w:rsid w:val="00187930"/>
    <w:rsid w:val="00190AC1"/>
    <w:rsid w:val="00191980"/>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31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4B3"/>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FC"/>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4BE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9D4"/>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431"/>
    <w:rsid w:val="002A45B1"/>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0E02"/>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2570"/>
    <w:rsid w:val="0037322F"/>
    <w:rsid w:val="0037323B"/>
    <w:rsid w:val="00374042"/>
    <w:rsid w:val="003742AC"/>
    <w:rsid w:val="003746E6"/>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0B7C"/>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779BB"/>
    <w:rsid w:val="004808FD"/>
    <w:rsid w:val="004821D5"/>
    <w:rsid w:val="004824B0"/>
    <w:rsid w:val="00482AAD"/>
    <w:rsid w:val="00483127"/>
    <w:rsid w:val="00483897"/>
    <w:rsid w:val="004843B1"/>
    <w:rsid w:val="00484649"/>
    <w:rsid w:val="00484CFB"/>
    <w:rsid w:val="004853CE"/>
    <w:rsid w:val="0048542F"/>
    <w:rsid w:val="00485A5D"/>
    <w:rsid w:val="0048618E"/>
    <w:rsid w:val="004865E7"/>
    <w:rsid w:val="00486645"/>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56EE"/>
    <w:rsid w:val="004B6327"/>
    <w:rsid w:val="004B63AD"/>
    <w:rsid w:val="004B70A5"/>
    <w:rsid w:val="004B7821"/>
    <w:rsid w:val="004B7BFD"/>
    <w:rsid w:val="004B7C0C"/>
    <w:rsid w:val="004B7CA2"/>
    <w:rsid w:val="004C04EF"/>
    <w:rsid w:val="004C0718"/>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8AD"/>
    <w:rsid w:val="004F2AE0"/>
    <w:rsid w:val="004F372A"/>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64D"/>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0A8"/>
    <w:rsid w:val="0056121F"/>
    <w:rsid w:val="00561658"/>
    <w:rsid w:val="005617CF"/>
    <w:rsid w:val="00561C13"/>
    <w:rsid w:val="00561D43"/>
    <w:rsid w:val="005623B3"/>
    <w:rsid w:val="00562735"/>
    <w:rsid w:val="00562990"/>
    <w:rsid w:val="00562A71"/>
    <w:rsid w:val="00562EB7"/>
    <w:rsid w:val="00563697"/>
    <w:rsid w:val="005637EB"/>
    <w:rsid w:val="00563AEB"/>
    <w:rsid w:val="0056579B"/>
    <w:rsid w:val="00565E6C"/>
    <w:rsid w:val="00566A6D"/>
    <w:rsid w:val="005671AD"/>
    <w:rsid w:val="00567664"/>
    <w:rsid w:val="00567F21"/>
    <w:rsid w:val="00567F55"/>
    <w:rsid w:val="00570BE9"/>
    <w:rsid w:val="00570DAC"/>
    <w:rsid w:val="00570F73"/>
    <w:rsid w:val="00570F99"/>
    <w:rsid w:val="005713F2"/>
    <w:rsid w:val="00571E8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3D0A"/>
    <w:rsid w:val="00584529"/>
    <w:rsid w:val="00584668"/>
    <w:rsid w:val="00585371"/>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5ACF"/>
    <w:rsid w:val="005A5F1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2DC"/>
    <w:rsid w:val="005E5197"/>
    <w:rsid w:val="005E53B0"/>
    <w:rsid w:val="005E56C2"/>
    <w:rsid w:val="005E5B81"/>
    <w:rsid w:val="005E72E7"/>
    <w:rsid w:val="005E755A"/>
    <w:rsid w:val="005E7FA1"/>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4BE"/>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2FF"/>
    <w:rsid w:val="006074CE"/>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132"/>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11"/>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225"/>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312C"/>
    <w:rsid w:val="00793245"/>
    <w:rsid w:val="0079384E"/>
    <w:rsid w:val="00793CD8"/>
    <w:rsid w:val="007941EF"/>
    <w:rsid w:val="00794260"/>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D18"/>
    <w:rsid w:val="007C3E73"/>
    <w:rsid w:val="007C47C9"/>
    <w:rsid w:val="007C4DA2"/>
    <w:rsid w:val="007C4ED9"/>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D7B38"/>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92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E80"/>
    <w:rsid w:val="00845A39"/>
    <w:rsid w:val="00845B06"/>
    <w:rsid w:val="00845B8D"/>
    <w:rsid w:val="00846FE7"/>
    <w:rsid w:val="00847424"/>
    <w:rsid w:val="00847574"/>
    <w:rsid w:val="0084761B"/>
    <w:rsid w:val="008477CD"/>
    <w:rsid w:val="00847870"/>
    <w:rsid w:val="008479B5"/>
    <w:rsid w:val="00847E30"/>
    <w:rsid w:val="00850CEC"/>
    <w:rsid w:val="00852C9F"/>
    <w:rsid w:val="00853A9D"/>
    <w:rsid w:val="00854A60"/>
    <w:rsid w:val="00855B06"/>
    <w:rsid w:val="0085626F"/>
    <w:rsid w:val="00856911"/>
    <w:rsid w:val="00856917"/>
    <w:rsid w:val="00856B1D"/>
    <w:rsid w:val="00856BA4"/>
    <w:rsid w:val="00857C3A"/>
    <w:rsid w:val="00857E8D"/>
    <w:rsid w:val="00857F60"/>
    <w:rsid w:val="00861162"/>
    <w:rsid w:val="00861FC4"/>
    <w:rsid w:val="00862397"/>
    <w:rsid w:val="0086251D"/>
    <w:rsid w:val="0086325B"/>
    <w:rsid w:val="00863435"/>
    <w:rsid w:val="00863F02"/>
    <w:rsid w:val="00865D23"/>
    <w:rsid w:val="00866A86"/>
    <w:rsid w:val="008674CA"/>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74C"/>
    <w:rsid w:val="008A2857"/>
    <w:rsid w:val="008A2CE2"/>
    <w:rsid w:val="008A30AC"/>
    <w:rsid w:val="008A4052"/>
    <w:rsid w:val="008A44B8"/>
    <w:rsid w:val="008A467D"/>
    <w:rsid w:val="008A4C42"/>
    <w:rsid w:val="008A5094"/>
    <w:rsid w:val="008A51A8"/>
    <w:rsid w:val="008A5206"/>
    <w:rsid w:val="008A54C7"/>
    <w:rsid w:val="008A5569"/>
    <w:rsid w:val="008A5D95"/>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7F6"/>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52E"/>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1C8"/>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F33"/>
    <w:rsid w:val="009706AD"/>
    <w:rsid w:val="00970A40"/>
    <w:rsid w:val="00970E55"/>
    <w:rsid w:val="0097130C"/>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1885"/>
    <w:rsid w:val="009A22E1"/>
    <w:rsid w:val="009A2DBD"/>
    <w:rsid w:val="009A3285"/>
    <w:rsid w:val="009A34A1"/>
    <w:rsid w:val="009A38E7"/>
    <w:rsid w:val="009A45C7"/>
    <w:rsid w:val="009A462D"/>
    <w:rsid w:val="009A4A8E"/>
    <w:rsid w:val="009A4AD1"/>
    <w:rsid w:val="009A5124"/>
    <w:rsid w:val="009A524B"/>
    <w:rsid w:val="009A5566"/>
    <w:rsid w:val="009A5737"/>
    <w:rsid w:val="009A59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23F"/>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3EB"/>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51C6"/>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80"/>
    <w:rsid w:val="00B219D1"/>
    <w:rsid w:val="00B21DEF"/>
    <w:rsid w:val="00B22A95"/>
    <w:rsid w:val="00B22AC0"/>
    <w:rsid w:val="00B22FCA"/>
    <w:rsid w:val="00B23230"/>
    <w:rsid w:val="00B23AE8"/>
    <w:rsid w:val="00B23CC2"/>
    <w:rsid w:val="00B2451D"/>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09B9"/>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57E"/>
    <w:rsid w:val="00BC16D9"/>
    <w:rsid w:val="00BC1D4A"/>
    <w:rsid w:val="00BC1F30"/>
    <w:rsid w:val="00BC24C0"/>
    <w:rsid w:val="00BC25AA"/>
    <w:rsid w:val="00BC2677"/>
    <w:rsid w:val="00BC286B"/>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307"/>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6B82"/>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4FE"/>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DAC"/>
    <w:rsid w:val="00C82871"/>
    <w:rsid w:val="00C83454"/>
    <w:rsid w:val="00C836BC"/>
    <w:rsid w:val="00C837B2"/>
    <w:rsid w:val="00C84847"/>
    <w:rsid w:val="00C84CA9"/>
    <w:rsid w:val="00C8580F"/>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2AA3"/>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342"/>
    <w:rsid w:val="00CD5555"/>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AFE"/>
    <w:rsid w:val="00D17CE4"/>
    <w:rsid w:val="00D2006E"/>
    <w:rsid w:val="00D21672"/>
    <w:rsid w:val="00D2277F"/>
    <w:rsid w:val="00D239A7"/>
    <w:rsid w:val="00D23BE5"/>
    <w:rsid w:val="00D23F47"/>
    <w:rsid w:val="00D242E0"/>
    <w:rsid w:val="00D24951"/>
    <w:rsid w:val="00D251A0"/>
    <w:rsid w:val="00D25491"/>
    <w:rsid w:val="00D25557"/>
    <w:rsid w:val="00D2556A"/>
    <w:rsid w:val="00D26479"/>
    <w:rsid w:val="00D26B67"/>
    <w:rsid w:val="00D26BF0"/>
    <w:rsid w:val="00D26C20"/>
    <w:rsid w:val="00D27F67"/>
    <w:rsid w:val="00D3005B"/>
    <w:rsid w:val="00D30160"/>
    <w:rsid w:val="00D3151F"/>
    <w:rsid w:val="00D31B35"/>
    <w:rsid w:val="00D32518"/>
    <w:rsid w:val="00D330A2"/>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5D3F"/>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3F6"/>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0BA8"/>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91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1DF7"/>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7C1"/>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B69"/>
    <w:rsid w:val="00F54FBA"/>
    <w:rsid w:val="00F55955"/>
    <w:rsid w:val="00F55E9A"/>
    <w:rsid w:val="00F55F64"/>
    <w:rsid w:val="00F5623D"/>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1A5"/>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7ED"/>
    <w:rsid w:val="00FD5F35"/>
    <w:rsid w:val="00FD6174"/>
    <w:rsid w:val="00FD653F"/>
    <w:rsid w:val="00FD74DB"/>
    <w:rsid w:val="00FD7660"/>
    <w:rsid w:val="00FD79FB"/>
    <w:rsid w:val="00FE00B2"/>
    <w:rsid w:val="00FE0655"/>
    <w:rsid w:val="00FE0C3E"/>
    <w:rsid w:val="00FE0CDF"/>
    <w:rsid w:val="00FE1336"/>
    <w:rsid w:val="00FE2261"/>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0376F5"/>
    <w:rPr>
      <w:rFonts w:ascii="Times New Roman" w:hAnsi="Times New Roman"/>
      <w:sz w:val="18"/>
      <w:szCs w:val="24"/>
      <w:lang w:eastAsia="en-US"/>
    </w:rPr>
  </w:style>
  <w:style w:type="paragraph" w:customStyle="1" w:styleId="BL">
    <w:name w:val="BL"/>
    <w:basedOn w:val="Normal"/>
    <w:rsid w:val="009A1885"/>
    <w:pPr>
      <w:widowControl w:val="0"/>
      <w:numPr>
        <w:numId w:val="34"/>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2</TotalTime>
  <Pages>3</Pages>
  <Words>1525</Words>
  <Characters>7429</Characters>
  <Application>Microsoft Office Word</Application>
  <DocSecurity>0</DocSecurity>
  <Lines>142</Lines>
  <Paragraphs>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6</cp:revision>
  <cp:lastPrinted>2020-01-28T01:17:00Z</cp:lastPrinted>
  <dcterms:created xsi:type="dcterms:W3CDTF">2021-08-05T19:04:00Z</dcterms:created>
  <dcterms:modified xsi:type="dcterms:W3CDTF">2021-08-05T21:54:00Z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